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78</w:t>
      </w:r>
    </w:p>
    <w:p>
      <w:r>
        <w:t>Bundesgericht (BGE), 2014-05-08, DE</w:t>
      </w:r>
    </w:p>
    <w:p>
      <w:r>
        <w:rPr>
          <w:b/>
        </w:rPr>
        <w:t xml:space="preserve">Quelle: </w:t>
      </w:r>
      <w:r>
        <w:t>https://mcp.opencaselaw.ch/entscheid/bge_142 III 78</w:t>
      </w:r>
    </w:p>
    <w:p>
      <w:r>
        <w:t>FR: ATF 142 III 78</w:t>
      </w:r>
    </w:p>
    <w:p>
      <w:r>
        <w:t>IT: DTF 142 III 78</w:t>
      </w:r>
    </w:p>
    <w:p>
      <w:pPr>
        <w:pStyle w:val="Heading2"/>
      </w:pPr>
      <w:r>
        <w:t>Regeste</w:t>
      </w:r>
    </w:p>
    <w:p>
      <w:r>
        <w:t>Regeste Art. 80 Abs. 1 SchKG; Art. 289 Abs. 1 und Art. 318 Abs. 1 ZGB. Prozessstandschaft; Vollstreckung von Minderjährigenunterhalt nach Eintritt der Volljährigkeit des Kindes. Der ehemals sorgeberechtigte Elternteil ist nicht berechtigt, nach Eintritt der Volljährigkeit des Kindes in eigenem Namen Unterhaltsbeiträge für die Zeit der Minderjährigkeit des Kindes in Betreibung zu setzen und dafür Rechtsöffnung zu verlangen (E. 3).</w:t>
      </w:r>
    </w:p>
    <w:p>
      <w:pPr>
        <w:pStyle w:val="Heading2"/>
      </w:pPr>
      <w:r>
        <w:t>Erwägungen</w:t>
      </w:r>
    </w:p>
    <w:p>
      <w:r>
        <w:rPr>
          <w:b/>
        </w:rPr>
        <w:t>E. 3.1</w:t>
      </w:r>
    </w:p>
    <w:p>
      <w:r>
        <w:t>Nach Art. 80 Abs. 1 SchKG kann der Gläubiger beim Gericht die Aufhebung des Rechtsvorschlags (definitive Rechtsöffnung) verlangen, wenn die Forderung auf einem vollstreckbaren gerichtlichen Entscheid beruht. Anhand des gerichtlichen Entscheids hat das Rechtsöffnungsgericht namentlich zu prüfen, ob die im Urteil genannten Personen des Gläubigers und des Schuldners mit dem Betreibungsgläubiger und dem Betreibungsschuldner identisch sind und ob sich die in Betreibung gesetzte Forderung aus dem vorgelegten gerichtlichen Entscheid ergibt. Dabei hat das Gericht weder über den materiellen Bestand der Forderung zu befinden, noch sich mit der materiellen Richtigkeit des Urteils zu befassen ( BGE 138 III 583 E. 6.1.1 S. 584 f.; BGE 135 III 315 E. 2.3 S. 318 f.; BGE 134 III 656 E. 5.3.2 S. 659 f.).</w:t>
      </w:r>
    </w:p>
    <w:p>
      <w:r>
        <w:rPr>
          <w:b/>
        </w:rPr>
        <w:t>E. 3.2</w:t>
      </w:r>
    </w:p>
    <w:p>
      <w:r>
        <w:t>Vorliegend ist für die Prüfung, ob der Gläubiger gemäss Rechtsöffnungstitel mit dem Betreibungsgläubiger übereinstimmt, folgender materiell- und prozessrechtlicher Hintergrund zu beachten, vor welchem das als Rechtsöffnungstitel vorgelegte Urteil zu lesen ist: Gemäss Art. 279 ZGB kann das Kind gegen den Vater oder die Mutter oder gegen beide auf Leistung des Unterhalts für die Zukunft und für ein Jahr vor Klageerhebung klagen. Nach Art. 289 Abs. 1 ZGB steht der Anspruch auf Unterhaltsbeiträge dem Kind zu und wird, solange das Kind minderjährig ist, durch Leistung an dessen gesetzlichen Vertreter oder den Inhaber der Obhut erfüllt (gemäss der seit 1. Januar 2013 geltenden, vorliegend massgeblichen Fassung [vgl. Art. 12 Abs. 1 SchlT ZGB ]). Zum Zeitpunkt des Scheidungsurteils (29. April 1998) enthielt Art. 289 Abs. 1 ZGB die Präzisierung "solange das Kind minderjährig ist" und die Nennung des Obhutsinhabers noch nicht. Diese Ergänzungen wurden im Zuge der Scheidungsrechtsrevision eingefügt, wobei dort noch vom unmündigen statt vom minderjährigen Kind die Rede war (AS 1999 1138). Eine materielle Änderung war mit der Ergänzung "solange das Kind minderjährig [bzw. unmündig] ist" nicht beabsichtigt, da es bereits unter der ursprünglichen Fassung von Art. 289 Abs. 1 ZGB (AS 1977 247) nach der Mündigkeit an einem gesetzlichen Vertreter mangelte, an den hätte gezahlt werden können (vgl. CYRIL HEGNAUER, Berner Kommentar, 1997, N. 17 zu Art. 289 ZGB ; Botschaft vom BGE 142 III 78 S. 81 15. November 1995 über die Änderung des Schweizerischen Zivilgesetzbuches [Personenstand etc.], BBl 1996 I 162 Ziff. 244.3). Gläubiger des Unterhaltsanspruchs ist demnach - und war bereits zum Zeitpunkt des Scheidungsurteils - das Kind und gemäss Art. 279 ZGB ist es zur prozessualen Durchsetzung des Unterhaltsanspruchs aktivlegitimiert. Es ist denn auch ab seiner Geburt parteifähig, wobei der gesetzliche Vertreter für das Kind handelt, solange es noch nicht prozessfähig ist ( Art. 304 ZGB ; BGE 129 III 55 E. 3.1.2 S. 57; Urteil 5A_104/2009 vom 19. März 2009 E. 2.2, in: FamPra.ch 2009 S. 798). Die bundesgerichtliche Rechtsprechung hat es nicht bei dieser Vertretungsbefugnis (Handeln in fremdem Namen) bewenden lassen, sondern darüber hinaus dem Inhaber der elterlichen Sorge gestützt auf Art. 318 Abs. 1 ZGB die Befugnis zuerkannt, die Rechte des unmündigen Kindes in vermögensrechtlichen Angelegenheiten (insbesondere betreffend Unterhaltsbeiträge) in eigenem Namen auszuüben und vor Gericht oder in einer Betreibung selber geltend zu machen, indem der Sorgerechtsinhaber persönlich als Partei, d.h. als sog. Prozessstandschafter, handelt ( BGE 136 III 365 E. 2 S. 366 ff.; BGE 129 III 55 E. 3.1.3 S. 58; BGE 84 II 241 S. 245; Urteile 5C.314/2001 vom 20. Juni 2002 E. 7d, nicht publ. in: BGE 128 III 305 ; 5A_661/2012 vom 17. Januar 2013 E. 4.2.1; zurückhaltend Urteil 5A_104/2009 vom 19. März 2009 E. 2.2, in: FamPra.ch 2009 S. 798). Diese Befugnis setzt das Bestehen der elterlichen Sorge voraus ( Art. 318 Abs. 1 ZGB ) und endet demnach mit der Volljährigkeit des Kindes (Art. 296 ff. i.V.m. Art. 14 ZGB ). Eine Ausnahme gilt insofern, als das Gericht im Scheidungsverfahren gestützt auf Art. 133 Abs. 3 ZGB (in der seit 1. Juli 2014 geltenden Fassung; entsprechend Art. 133 Abs. 1 Satz 2 ZGB in den zuvor gültigen Fassungen; AS 1999 1131 und AS 2011 758) den Unterhaltsbeitrag über den Eintritt der Volljährigkeit hinaus festlegen kann. Der Inhaber der elterlichen Sorge kann in diesem Fall in eigenem Namen Volljährigenunterhalt geltend machen, d.h. die Anordnung einer Rechtsfolge verlangen, die sich erst nach Volljährigkeit des Kindes auswirkt. Dabei kann er den Prozess sogar dann in eigenem Namen fortführen, wenn das Kind während des Scheidungsverfahrens volljährig wird und es diesem Vorgehen zustimmt ( BGE 129 III 55 E. 3 S. 56 ff.; Urteil 5C.277/2001 vom 19. Dezember 2002 E. 1.4.2). Die Figur der Prozessstandschaft und ihre Ausdehnung auf alle vermögensrechtlichen Belange des Kindes (insbesondere im Bereich des BGE 142 III 78 S. 82 Kindesunterhaltsrechts) in BGE 136 III 365 ist in der Lehre kritisiert worden (CHRISTOPHE A. HERZIG, Prozessstandschaft im Kindesunterhaltsrecht - quo vadis?, in: Kaleidoskop des Familien- und Erbrechts, Liber amicarum für Alexandra Rumo-Jungo, 2014, S. 147 ff., insbesondere S. 161 ff.). Wie die nachfolgenden Erwägungen zeigen, braucht darauf nicht eingegangen zu werden.</w:t>
      </w:r>
    </w:p>
    <w:p>
      <w:r>
        <w:rPr>
          <w:b/>
        </w:rPr>
        <w:t>E. 3.3</w:t>
      </w:r>
    </w:p>
    <w:p>
      <w:r>
        <w:t>Zunächst kann die Beschwerdeführerin aus Art. 289 Abs. 1 ZGB nichts zu ihren Gunsten ableiten. Wie soeben gesagt, ist nach dieser Bestimmung das Kind Gläubiger der Unterhaltsbeiträge, die für seinen Unterhalt bestimmt sind. Dies gilt auch für die Zeit seiner Minderjährigkeit. Art. 289 Abs. 1 ZGB regelt ausserdem die Frage, durch Zahlung an welche Person der Unterhaltsschuldner seine Unterhaltspflicht zu erfüllen hat, nämlich an den gesetzlichen Vertreter oder den Inhaber der Obhut. Hingegen ordnet Art. 289 Abs. 1 ZGB nicht an, dass Minderjährigenunterhalt ohne Rücksicht auf das Alter des Kindes bzw. den Zeitpunkt der Leistung an den gesetzlichen Vertreter bzw. Obhutsinhaber zu zahlen ist, sondern dass Kindesunterhaltsbeiträge während der Minderjährigkeit an den gesetzlichen Vertreter oder den Obhutsinhaber zu bezahlen sind. Der Wortlaut der Norm ist insoweit eindeutig: Nur "solange das Kind minderjährig ist" ("durant sa minorité", "per la durata della minore età"), ist an den gesetzlichen Vertreter bzw. Obhutsinhaber zu leisten. Die Norm knüpft die Frage, an wen zu leisten ist, demnach weder an die Rechtsnatur der Unterhaltsforderung (Minderjährigen- oder Volljährigenunterhalt) an noch an den Zeitpunkt der Fälligkeit der Unterhaltsforderung, sondern einzig an die Frage, ob das Kind zum Zeitpunkt der Leistung minder- oder volljährig ist. Auch aus Art. 318 Abs. 1 ZGB und der dazu ergangenen Rechtsprechung kann die Beschwerdeführerin nichts zu ihren Gunsten ableiten. Wie bereits der Wortlaut dieser Norm festhält, beschränkt sich das Recht und die Pflicht der Eltern, das Kindesvermögen zu verwalten, auf den Zeitraum, während dem sie die elterliche Sorge innehaben. Mit der Volljährigkeit enden die damit zusammenhängenden Befugnisse. Dies gilt insbesondere für die Befugnis der Eltern, bei der Verfolgung von Interessen des Kindesvermögens als Prozessstandschafter zu handeln. Dass die elterlichen Befugnisse mit der Volljährigkeit enden, gilt auch dann, wenn eine Forderung zum Kindesvermögen gehört, die noch während der Zeit der Minderjährigkeit hätte erfüllt werden müssen. Art. 318 Abs. 1 ZGB knüpft (wie BGE 142 III 78 S. 83 auch Art. 289 Abs. 1 ZGB ) einzig an den Zeitpunkt des Wechsels von Minder- zu Volljährigkeit an und nicht an die Rechtsnatur von Objekten des Kindesvermögens oder den Zeitpunkt der Fälligkeit von Forderungen im Kindesvermögen. Nicht zu entscheiden ist, ob der gesetzliche Vertreter bzw. Obhutsberechtigte das Betreibungs- oder das Rechtsöffnungsverfahren in Analogie zum Scheidungsrecht (vgl. oben E. 3.2) weiterführen könnte, wenn er die Betreibung für Kindesunterhalt und/oder das entsprechende Rechtsöffnungsverfahren vor Eintritt der Volljährigkeit des Kindes eingeleitet hat, das Kind aber im Verlauf des Verfahrens volljährig wird. Einerseits hat die Beschwerdeführerin das Betreibungs- und das Rechtsöffnungsverfahren erst nach der Volljährigkeit von D. eingeleitet, andererseits läge ohnehin keine Zustimmung von D. zu einem solchen Vorgehen vor. Die Beschwerdeführerin macht schliesslich geltend, es sei stossend, wenn sie nicht als Prozessstandschafterin auftreten dürfe. Sie könne diesfalls den ihr zustehenden Ersatz für die von ihr vorgeschossenen Unterhaltsbeiträge nicht erhältlich machen, solange D. die Abtretung ihrer Ansprüche verweigere (zur Abtretung vgl. BGE 107 II 465 E. 6b S. 474 f.). Dem ist entgegenzuhalten, dass die Beschwerdeführerin keinen Anspruch auf die Kindesunterhaltsbeiträge hat; diese stehen - wie gesagt - vielmehr dem Kind zu. Der von ihr behauptete Ersatzanspruch für angeblich im Interesse des Kindes getätigte Aufwendungen würde - wenn überhaupt - auf anderer Rechtsgrundlage beruhen (vgl. dazu HEGNAUER, a.a.O., N. 36 zu Art. 289 ZGB ; BREITSCHMID/KAUP, in: Basler Kommentar, Zivilgesetzbuch, Bd. I, 5. Aufl. 2014, N. 8 zu Art. 289 ZGB ; Urteil 5P.313/1988 vom 7. Februar 1989 E. 1). Dass das Scheidungsurteil hierfür einen Rechtsöffnungstitel darstellen würde, behauptet die Beschwerdeführerin zu Recht nicht. Folglich besteht keine rechtliche Grundlage, dass die Beschwerdeführerin nach Eintritt der Volljährigkeit von D. als Prozessstandschafterin bei der Eintreibung der Unterhaltsbeiträge handeln könnte. Unterhaltsgläubiger ist das Kind, das nach der Volljährigkeit seine Rechte selber wahrzunehmen hat. Die Beschwerde ist unbegründet und damit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